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F0" w:rsidRDefault="00E01BF0" w:rsidP="00E01BF0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proofErr w:type="spellStart"/>
      <w:r w:rsidRPr="00F730A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Bonrix</w:t>
      </w:r>
      <w:proofErr w:type="spellEnd"/>
      <w:r w:rsidRPr="00F730A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Software System</w:t>
      </w: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s</w:t>
      </w:r>
    </w:p>
    <w:p w:rsidR="00E01BF0" w:rsidRDefault="00E01BF0" w:rsidP="00E01BF0">
      <w:pP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E01BF0" w:rsidRDefault="00E01BF0" w:rsidP="00E01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15868" w:themeColor="accent5" w:themeShade="80"/>
          <w:sz w:val="40"/>
          <w:szCs w:val="40"/>
        </w:rPr>
      </w:pPr>
      <w:r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  </w:t>
      </w:r>
      <w:r w:rsidRPr="00F730A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NDNC Filter </w:t>
      </w:r>
      <w:r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Quick Guide.</w:t>
      </w:r>
      <w:r w:rsidRPr="00F730A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 </w:t>
      </w:r>
    </w:p>
    <w:p w:rsidR="00000000" w:rsidRDefault="004A5E77"/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</w:rPr>
        <w:t>(1)</w:t>
      </w:r>
      <w:r>
        <w:rPr>
          <w:rStyle w:val="apple-converted-space"/>
          <w:rFonts w:ascii="Verdana" w:hAnsi="Verdana"/>
          <w:color w:val="6698FF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Incremental (NDNC-&gt;Incremental fast):-</w:t>
      </w:r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>For NDNC Database Update</w:t>
      </w: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5932950" cy="2143125"/>
            <wp:effectExtent l="19050" t="0" r="0" b="0"/>
            <wp:docPr id="1" name="Picture 0" descr="incremental-fa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remental-fast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0"/>
      </w:tblGrid>
      <w:tr w:rsidR="00E01BF0" w:rsidTr="00C4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BF0" w:rsidRDefault="00E01BF0" w:rsidP="00C4067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43600" cy="2867025"/>
                  <wp:effectExtent l="19050" t="0" r="0" b="0"/>
                  <wp:docPr id="34" name="Picture 33" descr="ndnc update f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nc update fast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BF0" w:rsidRDefault="00E01BF0" w:rsidP="00E01BF0">
      <w:pPr>
        <w:numPr>
          <w:ilvl w:val="0"/>
          <w:numId w:val="2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It is used to update NDNC database.</w:t>
      </w:r>
    </w:p>
    <w:p w:rsidR="00E01BF0" w:rsidRDefault="00E01BF0" w:rsidP="00E01BF0">
      <w:pPr>
        <w:numPr>
          <w:ilvl w:val="0"/>
          <w:numId w:val="2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Source file as 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incremental file which is downloaded </w:t>
      </w:r>
      <w:proofErr w:type="spellStart"/>
      <w:r>
        <w:rPr>
          <w:rFonts w:ascii="Verdana" w:hAnsi="Verdana"/>
          <w:color w:val="000000"/>
          <w:sz w:val="18"/>
          <w:szCs w:val="18"/>
        </w:rPr>
        <w:t>form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nccptrai.gov.in and destination folder as a any empty folder.</w:t>
      </w:r>
    </w:p>
    <w:p w:rsidR="00E01BF0" w:rsidRDefault="00E01BF0" w:rsidP="00E01BF0">
      <w:pPr>
        <w:numPr>
          <w:ilvl w:val="0"/>
          <w:numId w:val="2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Click on full process. (this process takes 30- 60 </w:t>
      </w:r>
      <w:proofErr w:type="spellStart"/>
      <w:r>
        <w:rPr>
          <w:rFonts w:ascii="Verdana" w:hAnsi="Verdana"/>
          <w:color w:val="000000"/>
          <w:sz w:val="18"/>
          <w:szCs w:val="18"/>
        </w:rPr>
        <w:t>mins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</w:rPr>
        <w:t>(2)</w:t>
      </w:r>
      <w:r>
        <w:rPr>
          <w:rStyle w:val="apple-converted-space"/>
          <w:rFonts w:ascii="Verdana" w:hAnsi="Verdana"/>
          <w:color w:val="6698FF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Filter Block Numbers (Filter-&gt;Block Numbers):-</w:t>
      </w:r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>Used for filter file</w:t>
      </w: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  <w:r>
        <w:rPr>
          <w:rFonts w:ascii="Verdana" w:hAnsi="Verdana"/>
          <w:noProof/>
          <w:color w:val="6698FF"/>
          <w:sz w:val="21"/>
          <w:szCs w:val="21"/>
          <w:bdr w:val="none" w:sz="0" w:space="0" w:color="auto" w:frame="1"/>
        </w:rPr>
        <w:drawing>
          <wp:inline distT="0" distB="0" distL="0" distR="0">
            <wp:extent cx="5591175" cy="2476500"/>
            <wp:effectExtent l="19050" t="0" r="9525" b="0"/>
            <wp:docPr id="2" name="Picture 1" descr="Filter-blo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r-block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21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</w:p>
    <w:p w:rsidR="00E01BF0" w:rsidRDefault="00E01BF0" w:rsidP="00E01BF0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50"/>
      </w:tblGrid>
      <w:tr w:rsidR="00E01BF0" w:rsidTr="00C4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BF0" w:rsidRDefault="00E01BF0" w:rsidP="00C406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10200" cy="1685925"/>
                  <wp:effectExtent l="19050" t="0" r="0" b="0"/>
                  <wp:docPr id="17" name="Picture 17" descr="http://www.bonrix.co.in/DhariniProjects/NDNCFilter/NDNCScreens/FilterBlock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onrix.co.in/DhariniProjects/NDNCFilter/NDNCScreens/FilterBlock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F0" w:rsidTr="00C4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BF0" w:rsidRDefault="00E01BF0" w:rsidP="00C40670">
            <w:pPr>
              <w:rPr>
                <w:noProof/>
              </w:rPr>
            </w:pPr>
          </w:p>
          <w:p w:rsidR="00E01BF0" w:rsidRDefault="00E01BF0" w:rsidP="00C40670">
            <w:pPr>
              <w:rPr>
                <w:noProof/>
              </w:rPr>
            </w:pPr>
          </w:p>
        </w:tc>
      </w:tr>
    </w:tbl>
    <w:p w:rsidR="00E01BF0" w:rsidRDefault="00E01BF0" w:rsidP="00E01BF0">
      <w:pPr>
        <w:numPr>
          <w:ilvl w:val="0"/>
          <w:numId w:val="3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To filter the Block Numbers give the source file path which you want to filter and give destination file </w:t>
      </w:r>
      <w:proofErr w:type="gramStart"/>
      <w:r>
        <w:rPr>
          <w:rFonts w:ascii="Verdana" w:hAnsi="Verdana"/>
          <w:color w:val="000000"/>
          <w:sz w:val="18"/>
          <w:szCs w:val="18"/>
        </w:rPr>
        <w:t>path(</w:t>
      </w:r>
      <w:proofErr w:type="gramEnd"/>
      <w:r>
        <w:rPr>
          <w:rFonts w:ascii="Verdana" w:hAnsi="Verdana"/>
          <w:color w:val="000000"/>
          <w:sz w:val="18"/>
          <w:szCs w:val="18"/>
        </w:rPr>
        <w:t>just give name with extension like .</w:t>
      </w:r>
      <w:proofErr w:type="spellStart"/>
      <w:r>
        <w:rPr>
          <w:rFonts w:ascii="Verdana" w:hAnsi="Verdana"/>
          <w:color w:val="000000"/>
          <w:sz w:val="18"/>
          <w:szCs w:val="18"/>
        </w:rPr>
        <w:t>xls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.</w:t>
      </w:r>
      <w:proofErr w:type="spellStart"/>
      <w:r>
        <w:rPr>
          <w:rFonts w:ascii="Verdana" w:hAnsi="Verdana"/>
          <w:color w:val="000000"/>
          <w:sz w:val="18"/>
          <w:szCs w:val="18"/>
        </w:rPr>
        <w:t>csv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) and press Start Filter(only .txt, .</w:t>
      </w:r>
      <w:proofErr w:type="spellStart"/>
      <w:r>
        <w:rPr>
          <w:rFonts w:ascii="Verdana" w:hAnsi="Verdana"/>
          <w:color w:val="000000"/>
          <w:sz w:val="18"/>
          <w:szCs w:val="18"/>
        </w:rPr>
        <w:t>csv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.</w:t>
      </w:r>
      <w:proofErr w:type="spellStart"/>
      <w:r>
        <w:rPr>
          <w:rFonts w:ascii="Verdana" w:hAnsi="Verdana"/>
          <w:color w:val="000000"/>
          <w:sz w:val="18"/>
          <w:szCs w:val="18"/>
        </w:rPr>
        <w:t>xls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files are allowed).</w:t>
      </w:r>
    </w:p>
    <w:p w:rsidR="00E01BF0" w:rsidRDefault="00E01BF0" w:rsidP="00E01BF0">
      <w:pPr>
        <w:numPr>
          <w:ilvl w:val="0"/>
          <w:numId w:val="3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Output is filtered Non-NDNC Numbers and second file is blocked numbers.</w:t>
      </w:r>
    </w:p>
    <w:p w:rsidR="00E01BF0" w:rsidRDefault="00E01BF0" w:rsidP="00E01BF0">
      <w:pPr>
        <w:numPr>
          <w:ilvl w:val="0"/>
          <w:numId w:val="3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Non-NDNC numbers are those on which you can make SMS Campaign.</w:t>
      </w: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(3)</w:t>
      </w:r>
      <w:r>
        <w:rPr>
          <w:rStyle w:val="apple-converted-space"/>
          <w:rFonts w:ascii="Verdana" w:hAnsi="Verdana"/>
          <w:color w:val="6698FF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 xml:space="preserve">Filter Block Numbers Multi-Column (Filter-&gt;Block Numbers </w:t>
      </w:r>
      <w:proofErr w:type="spellStart"/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MultiColumn</w:t>
      </w:r>
      <w:proofErr w:type="spellEnd"/>
      <w:proofErr w:type="gramStart"/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):</w:t>
      </w:r>
      <w:proofErr w:type="gramEnd"/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-</w:t>
      </w:r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 xml:space="preserve">  (if .</w:t>
      </w:r>
      <w:proofErr w:type="spellStart"/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>csv</w:t>
      </w:r>
      <w:proofErr w:type="spellEnd"/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 xml:space="preserve"> or .</w:t>
      </w:r>
      <w:proofErr w:type="spellStart"/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>xls</w:t>
      </w:r>
      <w:proofErr w:type="spellEnd"/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 xml:space="preserve"> file with Multiple Column)</w:t>
      </w: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</w:pP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</w:pP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5932951" cy="2295525"/>
            <wp:effectExtent l="19050" t="0" r="0" b="0"/>
            <wp:docPr id="3" name="Picture 2" descr="block-mu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-mult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0"/>
      </w:tblGrid>
      <w:tr w:rsidR="004A5E77" w:rsidTr="00C4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E77" w:rsidRDefault="004A5E77" w:rsidP="00C406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838825" cy="1552575"/>
                  <wp:effectExtent l="19050" t="0" r="9525" b="0"/>
                  <wp:docPr id="18" name="Picture 18" descr="http://www.bonrix.co.in/wiki/attach/Bonrix%20NDNC%20Filter%20Screen%20Shots/blocknumber%20multi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onrix.co.in/wiki/attach/Bonrix%20NDNC%20Filter%20Screen%20Shots/blocknumber%20multi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77" w:rsidRDefault="004A5E77" w:rsidP="004A5E77">
      <w:pPr>
        <w:numPr>
          <w:ilvl w:val="0"/>
          <w:numId w:val="4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To filter Block </w:t>
      </w:r>
      <w:proofErr w:type="spellStart"/>
      <w:r>
        <w:rPr>
          <w:rFonts w:ascii="Verdana" w:hAnsi="Verdana"/>
          <w:color w:val="000000"/>
          <w:sz w:val="18"/>
          <w:szCs w:val="18"/>
        </w:rPr>
        <w:t>Numbres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MultiColumn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(source file contain multiple column) select source file and choose column in which Mobile No. resides and select destination file and press Start Filter(only .</w:t>
      </w:r>
      <w:proofErr w:type="spellStart"/>
      <w:r>
        <w:rPr>
          <w:rFonts w:ascii="Verdana" w:hAnsi="Verdana"/>
          <w:color w:val="000000"/>
          <w:sz w:val="18"/>
          <w:szCs w:val="18"/>
        </w:rPr>
        <w:t>xls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files are allowed).</w:t>
      </w:r>
    </w:p>
    <w:p w:rsidR="004A5E77" w:rsidRDefault="004A5E77" w:rsidP="004A5E77">
      <w:pPr>
        <w:numPr>
          <w:ilvl w:val="0"/>
          <w:numId w:val="4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 multicolumn file </w:t>
      </w:r>
      <w:proofErr w:type="spellStart"/>
      <w:r>
        <w:rPr>
          <w:rFonts w:ascii="Verdana" w:hAnsi="Verdana"/>
          <w:color w:val="000000"/>
          <w:sz w:val="18"/>
          <w:szCs w:val="18"/>
        </w:rPr>
        <w:t>file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extension must be .</w:t>
      </w:r>
      <w:proofErr w:type="spellStart"/>
      <w:r>
        <w:rPr>
          <w:rFonts w:ascii="Verdana" w:hAnsi="Verdana"/>
          <w:color w:val="000000"/>
          <w:sz w:val="18"/>
          <w:szCs w:val="18"/>
        </w:rPr>
        <w:t>xls</w:t>
      </w:r>
      <w:proofErr w:type="spellEnd"/>
    </w:p>
    <w:p w:rsidR="004A5E77" w:rsidRDefault="004A5E77" w:rsidP="004A5E77">
      <w:pPr>
        <w:numPr>
          <w:ilvl w:val="0"/>
          <w:numId w:val="4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Output is filtered Non-NDNC Numbers.</w:t>
      </w:r>
    </w:p>
    <w:p w:rsidR="004A5E77" w:rsidRDefault="004A5E77" w:rsidP="004A5E77">
      <w:pPr>
        <w:numPr>
          <w:ilvl w:val="0"/>
          <w:numId w:val="4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Non-NDNC numbers are those on which you can make SMS Campaign.</w:t>
      </w: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color w:val="6698FF"/>
          <w:sz w:val="21"/>
          <w:szCs w:val="21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</w:rPr>
        <w:t>(4)</w:t>
      </w:r>
      <w:r>
        <w:rPr>
          <w:rStyle w:val="apple-converted-space"/>
          <w:rFonts w:ascii="Verdana" w:hAnsi="Verdana"/>
          <w:color w:val="6698FF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6698FF"/>
          <w:sz w:val="21"/>
          <w:szCs w:val="21"/>
          <w:bdr w:val="none" w:sz="0" w:space="0" w:color="auto" w:frame="1"/>
        </w:rPr>
        <w:t>Count:-</w:t>
      </w:r>
      <w:r>
        <w:rPr>
          <w:rFonts w:ascii="Verdana" w:hAnsi="Verdana"/>
          <w:b w:val="0"/>
          <w:bCs w:val="0"/>
          <w:sz w:val="18"/>
          <w:szCs w:val="18"/>
          <w:bdr w:val="none" w:sz="0" w:space="0" w:color="auto" w:frame="1"/>
        </w:rPr>
        <w:t xml:space="preserve"> </w:t>
      </w:r>
    </w:p>
    <w:p w:rsidR="004A5E77" w:rsidRDefault="004A5E77" w:rsidP="004A5E77">
      <w:pPr>
        <w:pStyle w:val="Heading4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0"/>
      </w:tblGrid>
      <w:tr w:rsidR="004A5E77" w:rsidTr="00C4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E77" w:rsidRDefault="004A5E77" w:rsidP="00C4067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33700" cy="2438400"/>
                  <wp:effectExtent l="19050" t="0" r="0" b="0"/>
                  <wp:docPr id="25" name="Picture 25" descr="http://www.bonrix.co.in/DhariniProjects/NDNCFilter/NDNCScreens/Co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onrix.co.in/DhariniProjects/NDNCFilter/NDNCScreens/Cou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77" w:rsidRDefault="004A5E77" w:rsidP="004A5E77">
      <w:pPr>
        <w:numPr>
          <w:ilvl w:val="0"/>
          <w:numId w:val="5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It is used to count the phone no. Number in database.</w:t>
      </w:r>
    </w:p>
    <w:p w:rsidR="004A5E77" w:rsidRDefault="004A5E77" w:rsidP="004A5E77">
      <w:pPr>
        <w:numPr>
          <w:ilvl w:val="1"/>
          <w:numId w:val="5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Block Numbers - To Count Block Numbers form database.</w:t>
      </w:r>
    </w:p>
    <w:p w:rsidR="004A5E77" w:rsidRDefault="004A5E77" w:rsidP="004A5E77">
      <w:pPr>
        <w:numPr>
          <w:ilvl w:val="1"/>
          <w:numId w:val="5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Block Numbers(Category) - To Count Block Number(category)(e.g. Health, Real Estate )</w:t>
      </w:r>
    </w:p>
    <w:p w:rsidR="004A5E77" w:rsidRDefault="004A5E77" w:rsidP="004A5E77">
      <w:pPr>
        <w:numPr>
          <w:ilvl w:val="1"/>
          <w:numId w:val="5"/>
        </w:numPr>
        <w:spacing w:after="0" w:line="240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Allowed Voice Call - To Count Allowed Voice Call Numbers.</w:t>
      </w: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4A5E77" w:rsidRDefault="004A5E77" w:rsidP="004A5E77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Pr="00386E7C" w:rsidRDefault="00E01BF0" w:rsidP="00E01BF0">
      <w:pPr>
        <w:spacing w:after="0" w:line="240" w:lineRule="atLeast"/>
        <w:rPr>
          <w:rFonts w:ascii="Verdana" w:hAnsi="Verdana"/>
          <w:color w:val="000000"/>
          <w:sz w:val="18"/>
          <w:szCs w:val="18"/>
        </w:rPr>
      </w:pPr>
    </w:p>
    <w:p w:rsidR="00E01BF0" w:rsidRDefault="00E01BF0"/>
    <w:sectPr w:rsidR="00E0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8D"/>
      </v:shape>
    </w:pict>
  </w:numPicBullet>
  <w:abstractNum w:abstractNumId="0">
    <w:nsid w:val="017D5055"/>
    <w:multiLevelType w:val="multilevel"/>
    <w:tmpl w:val="1E4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7BFA"/>
    <w:multiLevelType w:val="multilevel"/>
    <w:tmpl w:val="DF3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5983"/>
    <w:multiLevelType w:val="hybridMultilevel"/>
    <w:tmpl w:val="E416ABA4"/>
    <w:lvl w:ilvl="0" w:tplc="A26482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F3FC3"/>
    <w:multiLevelType w:val="multilevel"/>
    <w:tmpl w:val="C5F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354DA"/>
    <w:multiLevelType w:val="multilevel"/>
    <w:tmpl w:val="E29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BF0"/>
    <w:rsid w:val="004A5E77"/>
    <w:rsid w:val="00E0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1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BF0"/>
    <w:pPr>
      <w:ind w:left="720"/>
      <w:contextualSpacing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E01B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BF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01BF0"/>
  </w:style>
  <w:style w:type="paragraph" w:styleId="BalloonText">
    <w:name w:val="Balloon Text"/>
    <w:basedOn w:val="Normal"/>
    <w:link w:val="BalloonTextChar"/>
    <w:uiPriority w:val="99"/>
    <w:semiHidden/>
    <w:unhideWhenUsed/>
    <w:rsid w:val="00E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2011-07-26T09:03:00Z</dcterms:created>
  <dcterms:modified xsi:type="dcterms:W3CDTF">2011-07-26T09:23:00Z</dcterms:modified>
</cp:coreProperties>
</file>